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78D76">
      <w:pPr>
        <w:spacing w:before="181" w:line="219" w:lineRule="auto"/>
        <w:ind w:left="4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1"/>
          <w:sz w:val="28"/>
          <w:szCs w:val="28"/>
        </w:rPr>
        <w:t>附件</w:t>
      </w:r>
      <w:r>
        <w:rPr>
          <w:rFonts w:ascii="宋体" w:hAnsi="宋体" w:eastAsia="宋体" w:cs="宋体"/>
          <w:spacing w:val="-6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1"/>
          <w:sz w:val="28"/>
          <w:szCs w:val="28"/>
        </w:rPr>
        <w:t>4</w:t>
      </w:r>
    </w:p>
    <w:p w14:paraId="745614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2"/>
          <w:sz w:val="44"/>
          <w:szCs w:val="44"/>
          <w:lang w:val="en-US" w:eastAsia="zh-CN"/>
        </w:rPr>
        <w:t>必修考试课程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2"/>
          <w:sz w:val="44"/>
          <w:szCs w:val="44"/>
        </w:rPr>
        <w:t>试卷归档要求</w:t>
      </w:r>
    </w:p>
    <w:p w14:paraId="7711E1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8"/>
          <w:sz w:val="32"/>
          <w:szCs w:val="32"/>
        </w:rPr>
        <w:t>试卷评阅结束后，各门课程的试卷样卷、参考答案、考</w:t>
      </w:r>
      <w:r>
        <w:rPr>
          <w:rFonts w:hint="eastAsia" w:ascii="方正仿宋_GB2312" w:hAnsi="方正仿宋_GB2312" w:eastAsia="方正仿宋_GB2312" w:cs="方正仿宋_GB2312"/>
          <w:spacing w:val="12"/>
          <w:sz w:val="32"/>
          <w:szCs w:val="32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8"/>
          <w:sz w:val="32"/>
          <w:szCs w:val="32"/>
        </w:rPr>
        <w:t>生试卷和成绩分析报告等材料由开课学院（教学单位）归档</w:t>
      </w:r>
      <w:r>
        <w:rPr>
          <w:rFonts w:hint="eastAsia" w:ascii="方正仿宋_GB2312" w:hAnsi="方正仿宋_GB2312" w:eastAsia="方正仿宋_GB2312" w:cs="方正仿宋_GB2312"/>
          <w:spacing w:val="12"/>
          <w:sz w:val="32"/>
          <w:szCs w:val="32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6"/>
          <w:sz w:val="32"/>
          <w:szCs w:val="32"/>
        </w:rPr>
        <w:t>保存。具体要求如下：</w:t>
      </w:r>
    </w:p>
    <w:p w14:paraId="712341E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left="0" w:firstLine="664" w:firstLineChars="200"/>
        <w:textAlignment w:val="baseline"/>
        <w:outlineLvl w:val="1"/>
      </w:pPr>
      <w:r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  <w:t>一、未采用阅卷系统阅卷的课程试卷归档要求：</w:t>
      </w:r>
    </w:p>
    <w:p w14:paraId="23A83EE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须以教学班为单位保存试卷归档材料。</w:t>
      </w:r>
    </w:p>
    <w:p w14:paraId="7FF9885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1.试卷评阅结束后，按照试卷样卷、参考答案、考生试卷（答题纸或答题卡，须按照学号由小到大顺序排列）和成绩分析报告的顺序装订成合订本；</w:t>
      </w:r>
    </w:p>
    <w:p w14:paraId="77457D3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2.补缓考试卷评阅结束后，按照补缓考样卷、参考答案、 考生试卷（答题纸或答题卡，须按照学号由小到大顺序排列） 的顺序装订成合订本；</w:t>
      </w:r>
    </w:p>
    <w:p w14:paraId="06ABB5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3.将补缓考结束后的课程最终成绩登记表与以上合订本合并保存。</w:t>
      </w:r>
    </w:p>
    <w:p w14:paraId="76BF8CE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left="0" w:firstLine="664" w:firstLineChars="200"/>
        <w:textAlignment w:val="baseline"/>
        <w:outlineLvl w:val="1"/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  <w:t>二、采用阅卷系统阅卷的课程试卷归档要求：</w:t>
      </w:r>
    </w:p>
    <w:p w14:paraId="14FDFFC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须以教学班为单位保存试卷归档材料。</w:t>
      </w:r>
    </w:p>
    <w:p w14:paraId="294AE60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1.试卷评阅结束后，按照试卷样卷、参考答案和成绩分析报告的顺序装订成合订本；</w:t>
      </w:r>
    </w:p>
    <w:p w14:paraId="06C064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2.补缓考试卷评阅结束后，按照补缓考样卷、参考答案的顺序装订成合订本；</w:t>
      </w:r>
    </w:p>
    <w:p w14:paraId="1475B6B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3.将补缓考结束后的课程最终成绩登记表与以上合订本合并保存；</w:t>
      </w:r>
    </w:p>
    <w:p w14:paraId="428D982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4.将该课程（包括补缓考）在存档中心的所有归档材料 （成绩报告、成绩单、答题卡和痕迹图、试卷和参考答案、 阅卷记录）下载至移动存储设备，与以上合订材料一起保存；</w:t>
      </w:r>
    </w:p>
    <w:p w14:paraId="1E54773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5.补缓考结束后，各学院（教学单位）须将本学院（教 学单位）在存档中心的所有归档材料下载至专用电脑和移动存储设备保存。</w:t>
      </w:r>
    </w:p>
    <w:p w14:paraId="3FFA54A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left="0" w:firstLine="664" w:firstLineChars="200"/>
        <w:textAlignment w:val="baseline"/>
        <w:outlineLvl w:val="1"/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  <w:t>三、其他说明：</w:t>
      </w:r>
    </w:p>
    <w:p w14:paraId="3A08A27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1.封面：封面内容须填写完整，不能有缺项</w:t>
      </w:r>
      <w:bookmarkStart w:id="0" w:name="_GoBack"/>
      <w:bookmarkEnd w:id="0"/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 xml:space="preserve">； </w:t>
      </w:r>
    </w:p>
    <w:p w14:paraId="7CC455D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2.空白样卷：不能使用留有字迹的试卷；</w:t>
      </w:r>
    </w:p>
    <w:p w14:paraId="09790D5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3.参考答案：须有完整的试卷标准答案；</w:t>
      </w:r>
    </w:p>
    <w:p w14:paraId="09FAE9F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pacing w:val="8"/>
          <w:sz w:val="32"/>
          <w:szCs w:val="32"/>
        </w:rPr>
        <w:t>4.成绩登记表：补缓考结束后，从教务系统里统一打印。</w:t>
      </w:r>
    </w:p>
    <w:sectPr>
      <w:pgSz w:w="11906" w:h="16839"/>
      <w:pgMar w:top="1984" w:right="1417" w:bottom="1587" w:left="15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44841D7-AA24-4C29-B087-9A48CF68E95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2129FA88-07AF-4DB7-BCC9-16DC8A0E053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EF40232-27D5-440C-ACA0-41B13D08EBA0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04F2DAC-7903-47E2-A074-5CA75C08A929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64C314F"/>
    <w:rsid w:val="07D33D9A"/>
    <w:rsid w:val="13EB3FA7"/>
    <w:rsid w:val="3DFC4EBA"/>
    <w:rsid w:val="56E9366F"/>
    <w:rsid w:val="59376914"/>
    <w:rsid w:val="60854409"/>
    <w:rsid w:val="74B135C7"/>
    <w:rsid w:val="76B658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628</Words>
  <Characters>640</Characters>
  <TotalTime>41</TotalTime>
  <ScaleCrop>false</ScaleCrop>
  <LinksUpToDate>false</LinksUpToDate>
  <CharactersWithSpaces>655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2023-10-08T21:14:00Z</dcterms:created>
  <dc:creator>DELL</dc:creator>
  <cp:lastModifiedBy>为为</cp:lastModifiedBy>
  <dcterms:modified xsi:type="dcterms:W3CDTF">2025-10-09T03:42:41Z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2025-04-07T15:00:32Z</vt:filetime>
  </property>
  <property fmtid="{D5CDD505-2E9C-101B-9397-08002B2CF9AE}" pid="4" name="KSOTemplateDocerSaveRecord">
    <vt:lpwstr>eyJoZGlkIjoiZTIxNzI1Yzk2YzJlODg3YjIzNzU3ZWE5NWQ3Mzg4OWUiLCJ1c2VySWQiOiI0MjQzMTgzODcifQ==</vt:lpwstr>
  </property>
  <property fmtid="{D5CDD505-2E9C-101B-9397-08002B2CF9AE}" pid="5" name="KSOProductBuildVer">
    <vt:lpwstr>2052-12.1.0.22529</vt:lpwstr>
  </property>
  <property fmtid="{D5CDD505-2E9C-101B-9397-08002B2CF9AE}" pid="6" name="ICV">
    <vt:lpwstr>74A045EF094C459E954E8C398F034FEE_12</vt:lpwstr>
  </property>
</Properties>
</file>